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Фонд гуманитарных проектов запустил в 2018 году федеральный проект «Билет в будущее»  в рамках федерального проекта «Успех каждого ребенка» национального проекта «Образование».</w:t>
      </w:r>
    </w:p>
    <w:p>
      <w:pPr>
        <w:pStyle w:val="Standard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>
      <w:pPr>
        <w:pStyle w:val="Standard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2019 году к проекту присоединилась Ростовская область.</w:t>
      </w:r>
    </w:p>
    <w:p>
      <w:pPr>
        <w:pStyle w:val="Standard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сегодняшний день Государственное автономное учреждение дополнительного профессионального образования Ростовской области «Институт развития образования» осуществляет деятельность Единой модели профориентации в Ростовской области. В ее основу лег опыт реализации Федерального проекта «Билет в будущее», а сам проект остается идеальным инструментом для ее воплощения. Единая модель профориентации 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профдиагностики, профмероприятия и занятия «Россия-мои горизонты». </w:t>
      </w:r>
    </w:p>
    <w:p>
      <w:pPr>
        <w:pStyle w:val="Standard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началу 2024-2025 учебного года насчитывается:</w:t>
      </w:r>
    </w:p>
    <w:p>
      <w:pPr>
        <w:pStyle w:val="Standard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8.4 миллионов обучающихся</w:t>
      </w:r>
      <w:r>
        <w:rPr>
          <w:rFonts w:cs="Times New Roman" w:ascii="Times New Roman" w:hAnsi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профессии;</w:t>
      </w:r>
    </w:p>
    <w:p>
      <w:pPr>
        <w:pStyle w:val="Standard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Более 46 тысяч</w:t>
      </w:r>
      <w:r>
        <w:rPr>
          <w:rFonts w:cs="Times New Roman" w:ascii="Times New Roman" w:hAnsi="Times New Roman"/>
          <w:sz w:val="28"/>
          <w:szCs w:val="28"/>
        </w:rPr>
        <w:t xml:space="preserve"> педагогов повысили свою квалификацию, что способствовало улучшению их навыков и увеличению их профессиональных компетенций для поддержки школьников в выборе карьерного направления;</w:t>
      </w:r>
    </w:p>
    <w:p>
      <w:pPr>
        <w:pStyle w:val="Standard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Более 12.5 тысяч</w:t>
      </w:r>
      <w:r>
        <w:rPr>
          <w:rFonts w:cs="Times New Roman" w:ascii="Times New Roman" w:hAnsi="Times New Roman"/>
          <w:sz w:val="28"/>
          <w:szCs w:val="28"/>
        </w:rPr>
        <w:t xml:space="preserve"> работодателей присоединились к проекту и оказывают значительную помощь ученикам в их профессиональной ориентации, посредством организации профессиональных проб, экскурсий, мастер-классов и прочих профориентационных мероприятий.</w:t>
      </w:r>
    </w:p>
    <w:p>
      <w:pPr>
        <w:pStyle w:val="Standard"/>
        <w:spacing w:before="24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2024-2025 учебном году в  </w:t>
      </w:r>
      <w:r>
        <w:rPr>
          <w:rFonts w:cs="Times New Roman" w:ascii="Times New Roman" w:hAnsi="Times New Roman"/>
          <w:sz w:val="28"/>
          <w:szCs w:val="28"/>
        </w:rPr>
        <w:t>МБОУ Дубовской СШ № 1 и.М.Ф. Потапова</w:t>
      </w:r>
      <w:r>
        <w:rPr>
          <w:rFonts w:cs="Times New Roman" w:ascii="Times New Roman" w:hAnsi="Times New Roman"/>
          <w:sz w:val="28"/>
          <w:szCs w:val="28"/>
        </w:rPr>
        <w:t xml:space="preserve"> принимают участие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классов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330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школьников.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100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учеников прошли основные профдиагностики: «мои интересы» и «мои ориентиры». </w:t>
      </w:r>
    </w:p>
    <w:p>
      <w:pPr>
        <w:pStyle w:val="Standard"/>
        <w:spacing w:before="24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</w:t>
      </w:r>
    </w:p>
    <w:p>
      <w:pPr>
        <w:pStyle w:val="Standard"/>
        <w:spacing w:before="24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Уже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330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школьников приняли участие в профориентационных мероприятиях -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которые позволяют школьникам непосредственно общаться с представителями профессий и получать ценные советы и представления по выбору будущей специальности. </w:t>
      </w:r>
    </w:p>
    <w:p>
      <w:pPr>
        <w:pStyle w:val="Standard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Педагоги-навигаторы провели 7 уроков «Россия-мои горизонты» по темам: 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</w:p>
    <w:p>
      <w:pPr>
        <w:pStyle w:val="Standard"/>
        <w:spacing w:before="24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которые продолжают реализовываться дорожной картой Ростовской области.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LibreOffice/6.4.7.2$Linux_X86_64 LibreOffice_project/40$Build-2</Application>
  <Pages>2</Pages>
  <Words>419</Words>
  <Characters>3080</Characters>
  <CharactersWithSpaces>3492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2024-10-18T13:46:00Z</dcterms:created>
  <dc:creator>user</dc:creator>
  <dc:description/>
  <dc:language>ru-RU</dc:language>
  <cp:lastModifiedBy/>
  <dcterms:modified xsi:type="dcterms:W3CDTF">2024-10-20T21:10:54Z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